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609" w:type="dxa"/>
        <w:tblLayout w:type="fixed"/>
        <w:tblLook w:val="04A0"/>
      </w:tblPr>
      <w:tblGrid>
        <w:gridCol w:w="3510"/>
        <w:gridCol w:w="6099"/>
      </w:tblGrid>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7B766F">
              <w:rPr>
                <w:rFonts w:ascii="Times New Roman" w:hAnsi="Times New Roman" w:cs="Times New Roman"/>
                <w:sz w:val="24"/>
                <w:szCs w:val="24"/>
                <w:highlight w:val="yellow"/>
                <w:lang w:val="kk-KZ" w:eastAsia="en-US"/>
              </w:rPr>
              <w:t xml:space="preserve">№ </w:t>
            </w:r>
            <w:r w:rsidR="00FB284C" w:rsidRPr="007B766F">
              <w:rPr>
                <w:rFonts w:ascii="Times New Roman" w:hAnsi="Times New Roman" w:cs="Times New Roman"/>
                <w:sz w:val="24"/>
                <w:szCs w:val="24"/>
                <w:highlight w:val="yellow"/>
                <w:u w:val="single"/>
                <w:lang w:val="kk-KZ" w:eastAsia="en-US"/>
              </w:rPr>
              <w:t>1</w:t>
            </w:r>
            <w:r w:rsidR="00FB284C" w:rsidRPr="007B766F">
              <w:rPr>
                <w:rFonts w:ascii="Times New Roman" w:hAnsi="Times New Roman" w:cs="Times New Roman"/>
                <w:sz w:val="24"/>
                <w:szCs w:val="24"/>
                <w:highlight w:val="yellow"/>
                <w:lang w:val="kk-KZ" w:eastAsia="en-US"/>
              </w:rPr>
              <w:t xml:space="preserve">     хаттама  </w:t>
            </w:r>
            <w:r w:rsidR="00DF2D58" w:rsidRPr="007B766F">
              <w:rPr>
                <w:rFonts w:ascii="Times New Roman" w:hAnsi="Times New Roman" w:cs="Times New Roman"/>
                <w:sz w:val="24"/>
                <w:szCs w:val="24"/>
                <w:highlight w:val="yellow"/>
                <w:u w:val="single"/>
                <w:lang w:val="kk-KZ" w:eastAsia="en-US"/>
              </w:rPr>
              <w:t>« 2</w:t>
            </w:r>
            <w:r w:rsidR="0037187E">
              <w:rPr>
                <w:rFonts w:ascii="Times New Roman" w:hAnsi="Times New Roman" w:cs="Times New Roman"/>
                <w:sz w:val="24"/>
                <w:szCs w:val="24"/>
                <w:highlight w:val="yellow"/>
                <w:u w:val="single"/>
                <w:lang w:val="kk-KZ" w:eastAsia="en-US"/>
              </w:rPr>
              <w:t>6</w:t>
            </w:r>
            <w:r w:rsidR="00FB284C" w:rsidRPr="007B766F">
              <w:rPr>
                <w:rFonts w:ascii="Times New Roman" w:hAnsi="Times New Roman" w:cs="Times New Roman"/>
                <w:sz w:val="24"/>
                <w:szCs w:val="24"/>
                <w:highlight w:val="yellow"/>
                <w:u w:val="single"/>
                <w:lang w:val="kk-KZ" w:eastAsia="en-US"/>
              </w:rPr>
              <w:t>»</w:t>
            </w:r>
            <w:r w:rsidR="00FB284C" w:rsidRPr="007B766F">
              <w:rPr>
                <w:rFonts w:ascii="Times New Roman" w:hAnsi="Times New Roman" w:cs="Times New Roman"/>
                <w:sz w:val="24"/>
                <w:szCs w:val="24"/>
                <w:highlight w:val="yellow"/>
                <w:lang w:val="kk-KZ" w:eastAsia="en-US"/>
              </w:rPr>
              <w:t xml:space="preserve">  </w:t>
            </w:r>
            <w:r w:rsidR="00FB284C" w:rsidRPr="007B766F">
              <w:rPr>
                <w:rFonts w:ascii="Times New Roman" w:hAnsi="Times New Roman" w:cs="Times New Roman"/>
                <w:sz w:val="24"/>
                <w:szCs w:val="24"/>
                <w:highlight w:val="yellow"/>
                <w:u w:val="single"/>
                <w:lang w:val="kk-KZ" w:eastAsia="en-US"/>
              </w:rPr>
              <w:t>08</w:t>
            </w:r>
            <w:r w:rsidR="00FB284C" w:rsidRPr="007B766F">
              <w:rPr>
                <w:rFonts w:ascii="Times New Roman" w:hAnsi="Times New Roman" w:cs="Times New Roman"/>
                <w:sz w:val="24"/>
                <w:szCs w:val="24"/>
                <w:highlight w:val="yellow"/>
                <w:lang w:val="kk-KZ" w:eastAsia="en-US"/>
              </w:rPr>
              <w:t xml:space="preserve">  </w:t>
            </w:r>
            <w:r w:rsidR="00730D95" w:rsidRPr="007B766F">
              <w:rPr>
                <w:rFonts w:ascii="Times New Roman" w:hAnsi="Times New Roman" w:cs="Times New Roman"/>
                <w:sz w:val="24"/>
                <w:szCs w:val="24"/>
                <w:highlight w:val="yellow"/>
                <w:u w:val="single"/>
                <w:lang w:val="kk-KZ" w:eastAsia="en-US"/>
              </w:rPr>
              <w:t>2015</w:t>
            </w:r>
            <w:r w:rsidR="00FB284C" w:rsidRPr="007B766F">
              <w:rPr>
                <w:rFonts w:ascii="Times New Roman" w:hAnsi="Times New Roman" w:cs="Times New Roman"/>
                <w:sz w:val="24"/>
                <w:szCs w:val="24"/>
                <w:highlight w:val="yellow"/>
                <w:u w:val="single"/>
                <w:lang w:val="kk-KZ" w:eastAsia="en-US"/>
              </w:rPr>
              <w:t xml:space="preserve">  ж</w:t>
            </w:r>
            <w:r w:rsidR="00FB284C" w:rsidRPr="007B766F">
              <w:rPr>
                <w:rFonts w:ascii="Times New Roman" w:hAnsi="Times New Roman" w:cs="Times New Roman"/>
                <w:sz w:val="24"/>
                <w:szCs w:val="24"/>
                <w:highlight w:val="yellow"/>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Tr="00001B75">
        <w:tc>
          <w:tcPr>
            <w:tcW w:w="277"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37187E"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c>
          <w:tcPr>
            <w:tcW w:w="277"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Pr>
          <w:rFonts w:ascii="Times New Roman" w:eastAsia="Times New Roman" w:hAnsi="Times New Roman" w:cs="Times New Roman"/>
          <w:sz w:val="24"/>
          <w:szCs w:val="24"/>
          <w:lang w:val="kk-KZ"/>
        </w:rPr>
        <w:t>200</w:t>
      </w:r>
      <w:r>
        <w:rPr>
          <w:rFonts w:ascii="Times New Roman" w:eastAsia="Times New Roman" w:hAnsi="Times New Roman" w:cs="Times New Roman"/>
          <w:sz w:val="24"/>
          <w:szCs w:val="24"/>
        </w:rPr>
        <w:t xml:space="preserve">9.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200</w:t>
      </w:r>
      <w:r>
        <w:rPr>
          <w:rFonts w:ascii="Times New Roman" w:hAnsi="Times New Roman" w:cs="Times New Roman"/>
          <w:sz w:val="24"/>
          <w:szCs w:val="24"/>
        </w:rPr>
        <w:t>9</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1984.(</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10</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 xml:space="preserve">Ким А.М. Системный подход в психологии//Методологические основы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Алматы:КазНУ</w:t>
      </w:r>
      <w:proofErr w:type="spellEnd"/>
      <w:r>
        <w:rPr>
          <w:rFonts w:ascii="Times New Roman" w:hAnsi="Times New Roman" w:cs="Times New Roman"/>
          <w:sz w:val="24"/>
          <w:szCs w:val="24"/>
        </w:rPr>
        <w:t>, 2003.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2012.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2010.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2008.-400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взрослыми.-М.,2003.</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2010.С.25-31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 xml:space="preserve">2009.-200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2010.-500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xml:space="preserve">. Н.Н. История отечественной психологии конца XIX - начала XX в.: Учебное пособие /  М.: Флинта:  МПСИ, 2010.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200</w:t>
      </w:r>
      <w:r>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Спб.-2009.-544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200</w:t>
      </w:r>
      <w:r>
        <w:rPr>
          <w:rFonts w:ascii="Times New Roman" w:hAnsi="Times New Roman" w:cs="Times New Roman"/>
          <w:sz w:val="24"/>
          <w:szCs w:val="24"/>
          <w:lang w:val="kk-KZ"/>
        </w:rPr>
        <w:t>8</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2008.-370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xml:space="preserve">», 2008.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Aamodt S., Wong S. Secrets of the brain, or why smart people do stupid things-2001.,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1991 - 560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proofErr w:type="gramStart"/>
      <w:r>
        <w:rPr>
          <w:rFonts w:ascii="Times New Roman" w:hAnsi="Times New Roman" w:cs="Times New Roman"/>
          <w:sz w:val="24"/>
          <w:szCs w:val="24"/>
          <w:lang w:val="en-US"/>
        </w:rPr>
        <w:t>1999.,</w:t>
      </w:r>
      <w:proofErr w:type="gramEnd"/>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sz w:val="24"/>
          <w:szCs w:val="24"/>
        </w:rPr>
        <w:t>.</w:t>
      </w:r>
      <w:r w:rsidRPr="004E4B29">
        <w:rPr>
          <w:rFonts w:ascii="Times New Roman" w:hAnsi="Times New Roman" w:cs="Times New Roman"/>
          <w:b/>
          <w:sz w:val="24"/>
          <w:szCs w:val="24"/>
          <w:lang w:val="kk-KZ"/>
        </w:rPr>
        <w:t xml:space="preserve"> </w:t>
      </w:r>
      <w:proofErr w:type="gramStart"/>
      <w:r w:rsidRPr="004E4B29">
        <w:rPr>
          <w:rFonts w:ascii="Times New Roman" w:hAnsi="Times New Roman" w:cs="Times New Roman"/>
          <w:b/>
          <w:sz w:val="24"/>
          <w:szCs w:val="24"/>
          <w:lang w:val="kk-KZ"/>
        </w:rPr>
        <w:t>П</w:t>
      </w:r>
      <w:proofErr w:type="gramEnd"/>
      <w:r w:rsidRPr="004E4B29">
        <w:rPr>
          <w:rFonts w:ascii="Times New Roman" w:hAnsi="Times New Roman" w:cs="Times New Roman"/>
          <w:b/>
          <w:sz w:val="24"/>
          <w:szCs w:val="24"/>
          <w:lang w:val="kk-KZ"/>
        </w:rPr>
        <w:t>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lastRenderedPageBreak/>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37187E"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37187E"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37187E"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37187E"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37187E"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37187E"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37187E">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37187E" w:rsidRPr="004E4B29" w:rsidRDefault="0037187E" w:rsidP="00FB284C">
      <w:pPr>
        <w:spacing w:after="0" w:line="240" w:lineRule="auto"/>
        <w:jc w:val="both"/>
        <w:rPr>
          <w:rFonts w:ascii="Times New Roman" w:hAnsi="Times New Roman" w:cs="Times New Roman"/>
          <w:bCs/>
          <w:iCs/>
          <w:sz w:val="24"/>
          <w:szCs w:val="24"/>
          <w:lang w:val="kk-KZ"/>
        </w:rPr>
      </w:pPr>
    </w:p>
    <w:p w:rsidR="00FB284C"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37187E" w:rsidRPr="004E4B29" w:rsidRDefault="0037187E" w:rsidP="00FB284C">
      <w:pPr>
        <w:autoSpaceDE w:val="0"/>
        <w:autoSpaceDN w:val="0"/>
        <w:spacing w:after="0"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267C37"/>
    <w:rsid w:val="00362F20"/>
    <w:rsid w:val="0037187E"/>
    <w:rsid w:val="00437ADF"/>
    <w:rsid w:val="00463CB0"/>
    <w:rsid w:val="006A4902"/>
    <w:rsid w:val="00730D95"/>
    <w:rsid w:val="007B766F"/>
    <w:rsid w:val="007E7F68"/>
    <w:rsid w:val="0081400D"/>
    <w:rsid w:val="008422D6"/>
    <w:rsid w:val="008A457E"/>
    <w:rsid w:val="00951D01"/>
    <w:rsid w:val="00A36006"/>
    <w:rsid w:val="00A41D9C"/>
    <w:rsid w:val="00AE4FBD"/>
    <w:rsid w:val="00C22060"/>
    <w:rsid w:val="00C81CF8"/>
    <w:rsid w:val="00D127B5"/>
    <w:rsid w:val="00DF2D58"/>
    <w:rsid w:val="00E44329"/>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22</cp:revision>
  <cp:lastPrinted>2015-10-06T11:19:00Z</cp:lastPrinted>
  <dcterms:created xsi:type="dcterms:W3CDTF">2014-09-14T13:51:00Z</dcterms:created>
  <dcterms:modified xsi:type="dcterms:W3CDTF">2015-10-06T11:19:00Z</dcterms:modified>
</cp:coreProperties>
</file>